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VWMR6GE79UA0TTGRKR8ML0Y7ZC0OAPR9E06BJECXGI8TFLT66BRVCJ7FY5HP8IRXSM69OZGZHJD8HJJQNFTYFFV89D0WHCB8UOOYHB37A38DBB004DBE419DCFBCE510F1D0752" Type="http://schemas.microsoft.com/office/2006/relationships/officeDocumentMain" Target="NULL"/><Relationship Id="SAWMQ6GH79VQ0TBGRPR8KL097NN0OYPREX0XWJDUXFFRTELTZDBRVC0CFSUHPCRRAUMXCOZMZH578HEJEFFTQFFT8RF0WLCBAOOODHB39C198F1528E82E17C01F3F5FA6A41F94" Type="http://schemas.microsoft.com/office/2006/relationships/officeDocumentExtended"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89E" w:rsidRDefault="0037788F">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兴银理财【天天万利宝稳利】净值型理财产品</w:t>
      </w:r>
    </w:p>
    <w:p w:rsidR="00D9689E" w:rsidRDefault="0037788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D9689E" w:rsidRDefault="0037788F">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D9689E" w:rsidRDefault="0037788F">
      <w:pPr>
        <w:rPr>
          <w:rFonts w:ascii="宋体" w:hAnsi="宋体" w:cs="仿宋_GB2312"/>
          <w:b/>
          <w:kern w:val="0"/>
          <w:sz w:val="18"/>
          <w:szCs w:val="18"/>
        </w:rPr>
      </w:pPr>
      <w:r>
        <w:rPr>
          <w:rFonts w:ascii="宋体" w:hAnsi="宋体" w:cs="仿宋_GB2312" w:hint="eastAsia"/>
          <w:b/>
          <w:kern w:val="0"/>
          <w:sz w:val="18"/>
          <w:szCs w:val="18"/>
        </w:rPr>
        <w:t>尊敬的投资者：</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D9689E" w:rsidRDefault="0037788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D9689E" w:rsidRDefault="0037788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Pr>
          <w:rFonts w:ascii="宋体" w:hAnsi="宋体" w:hint="eastAsia"/>
          <w:bCs/>
          <w:sz w:val="18"/>
          <w:szCs w:val="18"/>
        </w:rPr>
        <w:t>兴业银行天天万利宝稳利</w:t>
      </w:r>
      <w:r>
        <w:rPr>
          <w:rFonts w:ascii="宋体" w:hAnsi="宋体" w:hint="eastAsia"/>
          <w:bCs/>
          <w:sz w:val="18"/>
          <w:szCs w:val="18"/>
        </w:rPr>
        <w:t>6</w:t>
      </w:r>
      <w:r>
        <w:rPr>
          <w:rFonts w:ascii="宋体" w:hAnsi="宋体" w:hint="eastAsia"/>
          <w:bCs/>
          <w:sz w:val="18"/>
          <w:szCs w:val="18"/>
        </w:rPr>
        <w:t>号</w:t>
      </w:r>
      <w:r>
        <w:rPr>
          <w:rFonts w:ascii="宋体" w:hAnsi="宋体" w:hint="eastAsia"/>
          <w:bCs/>
          <w:sz w:val="18"/>
          <w:szCs w:val="18"/>
        </w:rPr>
        <w:t>J</w:t>
      </w:r>
      <w:r>
        <w:rPr>
          <w:rFonts w:ascii="宋体" w:hAnsi="宋体" w:hint="eastAsia"/>
          <w:bCs/>
          <w:sz w:val="18"/>
          <w:szCs w:val="18"/>
        </w:rPr>
        <w:t>款净值型理财产品</w:t>
      </w:r>
      <w:r>
        <w:rPr>
          <w:rFonts w:ascii="宋体" w:hAnsi="宋体" w:cs="仿宋_GB2312" w:hint="eastAsia"/>
          <w:kern w:val="0"/>
          <w:sz w:val="18"/>
          <w:szCs w:val="18"/>
        </w:rPr>
        <w:t>】。</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宋体" w:hAnsi="宋体" w:cs="仿宋_GB2312" w:hint="eastAsia"/>
          <w:kern w:val="0"/>
          <w:sz w:val="18"/>
          <w:szCs w:val="18"/>
        </w:rPr>
        <w:t>【稳利恒盈</w:t>
      </w:r>
      <w:r>
        <w:rPr>
          <w:rFonts w:ascii="宋体" w:hAnsi="宋体" w:cs="仿宋_GB2312" w:hint="eastAsia"/>
          <w:kern w:val="0"/>
          <w:sz w:val="18"/>
          <w:szCs w:val="18"/>
        </w:rPr>
        <w:t>6</w:t>
      </w:r>
      <w:r>
        <w:rPr>
          <w:rFonts w:ascii="宋体" w:hAnsi="宋体" w:cs="仿宋_GB2312" w:hint="eastAsia"/>
          <w:kern w:val="0"/>
          <w:sz w:val="18"/>
          <w:szCs w:val="18"/>
        </w:rPr>
        <w:t>号</w:t>
      </w:r>
      <w:r>
        <w:rPr>
          <w:rFonts w:ascii="宋体" w:hAnsi="宋体"/>
          <w:bCs/>
          <w:sz w:val="18"/>
          <w:szCs w:val="18"/>
        </w:rPr>
        <w:t>J</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D9689E" w:rsidRDefault="0037788F">
      <w:pPr>
        <w:ind w:firstLineChars="749" w:firstLine="13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6</w:t>
      </w:r>
      <w:r>
        <w:rPr>
          <w:rFonts w:ascii="宋体" w:hAnsi="宋体" w:cs="仿宋_GB2312" w:hint="eastAsia"/>
          <w:kern w:val="0"/>
          <w:sz w:val="18"/>
          <w:szCs w:val="18"/>
        </w:rPr>
        <w:t>号</w:t>
      </w:r>
      <w:r>
        <w:rPr>
          <w:rFonts w:ascii="宋体" w:hAnsi="宋体"/>
          <w:bCs/>
          <w:sz w:val="18"/>
          <w:szCs w:val="18"/>
        </w:rPr>
        <w:t>J</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D9689E" w:rsidRDefault="0037788F">
      <w:pPr>
        <w:ind w:firstLineChars="749" w:firstLine="13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6</w:t>
      </w:r>
      <w:r>
        <w:rPr>
          <w:rFonts w:ascii="宋体" w:hAnsi="宋体" w:cs="仿宋_GB2312" w:hint="eastAsia"/>
          <w:kern w:val="0"/>
          <w:sz w:val="18"/>
          <w:szCs w:val="18"/>
        </w:rPr>
        <w:t>号</w:t>
      </w:r>
      <w:r>
        <w:rPr>
          <w:rFonts w:ascii="宋体" w:hAnsi="宋体"/>
          <w:bCs/>
          <w:sz w:val="18"/>
          <w:szCs w:val="18"/>
        </w:rPr>
        <w:t>J</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D9689E" w:rsidRDefault="0037788F">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bCs/>
          <w:sz w:val="18"/>
          <w:szCs w:val="18"/>
        </w:rPr>
        <w:t>Z7002021000098</w:t>
      </w:r>
      <w:r>
        <w:rPr>
          <w:rFonts w:ascii="宋体" w:hAnsi="宋体" w:cs="仿宋_GB2312" w:hint="eastAsia"/>
          <w:kern w:val="0"/>
          <w:sz w:val="18"/>
          <w:szCs w:val="18"/>
        </w:rPr>
        <w:t>】。</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D9689E" w:rsidRDefault="0037788F">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D9689E" w:rsidRDefault="0037788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D9689E" w:rsidRDefault="0037788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D9689E" w:rsidRDefault="0037788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D9689E" w:rsidRDefault="0037788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D9689E" w:rsidRDefault="0037788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D9689E" w:rsidRDefault="0037788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D9689E" w:rsidRDefault="0037788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D9689E" w:rsidRDefault="0037788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9689E" w:rsidRDefault="0037788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D9689E" w:rsidRDefault="0037788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D9689E" w:rsidRDefault="0037788F">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D9689E" w:rsidRDefault="0037788F">
      <w:pPr>
        <w:pStyle w:val="aa"/>
        <w:ind w:firstLineChars="0" w:firstLine="448"/>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拟投资市场和资产的风险：</w:t>
      </w:r>
    </w:p>
    <w:p w:rsidR="00D9689E" w:rsidRDefault="0037788F">
      <w:pPr>
        <w:pStyle w:val="aa"/>
        <w:ind w:firstLineChars="0"/>
        <w:rPr>
          <w:rFonts w:ascii="宋体" w:hAnsi="宋体"/>
          <w:sz w:val="18"/>
          <w:szCs w:val="18"/>
        </w:rPr>
      </w:pPr>
      <w:r>
        <w:rPr>
          <w:rFonts w:ascii="宋体" w:hAnsi="宋体" w:hint="eastAsia"/>
          <w:sz w:val="18"/>
          <w:szCs w:val="18"/>
        </w:rPr>
        <w:lastRenderedPageBreak/>
        <w:t>（</w:t>
      </w:r>
      <w:r>
        <w:rPr>
          <w:rFonts w:ascii="宋体" w:hAnsi="宋体"/>
          <w:sz w:val="18"/>
          <w:szCs w:val="18"/>
        </w:rPr>
        <w:t>1</w:t>
      </w:r>
      <w:r>
        <w:rPr>
          <w:rFonts w:ascii="宋体" w:hAnsi="宋体"/>
          <w:sz w:val="18"/>
          <w:szCs w:val="18"/>
        </w:rPr>
        <w:t>）投资固定收益类资产的风险</w:t>
      </w:r>
    </w:p>
    <w:p w:rsidR="00D9689E" w:rsidRDefault="0037788F">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D9689E" w:rsidRDefault="0037788F">
      <w:pPr>
        <w:pStyle w:val="aa"/>
        <w:ind w:firstLineChars="0"/>
        <w:rPr>
          <w:rFonts w:ascii="宋体" w:hAnsi="宋体"/>
          <w:sz w:val="18"/>
          <w:szCs w:val="18"/>
        </w:rPr>
      </w:pPr>
      <w:r>
        <w:rPr>
          <w:rFonts w:ascii="宋体" w:hAnsi="宋体"/>
          <w:sz w:val="18"/>
          <w:szCs w:val="18"/>
        </w:rPr>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w:t>
      </w:r>
      <w:r>
        <w:rPr>
          <w:rFonts w:ascii="宋体" w:hAnsi="宋体"/>
          <w:sz w:val="18"/>
          <w:szCs w:val="18"/>
        </w:rPr>
        <w:t>能发生的变化导致的市场风险；债券发行人的经营状况、信用质量降低等可能发生的变化导致的信用风险；可能因市场成交量不足、缺乏交易对手导致的流动性风险等。</w:t>
      </w:r>
    </w:p>
    <w:p w:rsidR="00D9689E" w:rsidRDefault="0037788F">
      <w:pPr>
        <w:pStyle w:val="aa"/>
        <w:ind w:firstLineChars="0"/>
        <w:rPr>
          <w:rFonts w:ascii="宋体" w:hAnsi="宋体"/>
          <w:sz w:val="18"/>
          <w:szCs w:val="18"/>
        </w:rPr>
      </w:pPr>
      <w:r>
        <w:rPr>
          <w:rFonts w:ascii="宋体" w:hAnsi="宋体"/>
          <w:sz w:val="18"/>
          <w:szCs w:val="18"/>
        </w:rPr>
        <w:t>2</w:t>
      </w:r>
      <w:r>
        <w:rPr>
          <w:rFonts w:ascii="宋体" w:hAnsi="宋体"/>
          <w:sz w:val="18"/>
          <w:szCs w:val="18"/>
        </w:rPr>
        <w:t>）投资非标准化债权类资产</w:t>
      </w:r>
      <w:r>
        <w:rPr>
          <w:rFonts w:ascii="宋体" w:hAnsi="宋体" w:hint="eastAsia"/>
          <w:sz w:val="18"/>
          <w:szCs w:val="18"/>
        </w:rPr>
        <w:t>的</w:t>
      </w:r>
      <w:r>
        <w:rPr>
          <w:rFonts w:ascii="宋体" w:hAnsi="宋体"/>
          <w:sz w:val="18"/>
          <w:szCs w:val="18"/>
        </w:rPr>
        <w:t>风险</w:t>
      </w:r>
    </w:p>
    <w:p w:rsidR="00D9689E" w:rsidRDefault="0037788F">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w:t>
      </w:r>
      <w:r>
        <w:rPr>
          <w:rFonts w:ascii="宋体" w:hAnsi="宋体" w:hint="eastAsia"/>
          <w:sz w:val="18"/>
          <w:szCs w:val="18"/>
        </w:rPr>
        <w:t>中登记和独立托管、缺乏公允性定价和流动机制不完善、未在银行间市场、证券交易所市场等国务院同意设立的交易市场交易等原因，从而缺乏交易对手，导致流动性风险等。</w:t>
      </w:r>
    </w:p>
    <w:p w:rsidR="00D9689E" w:rsidRDefault="0037788F">
      <w:pPr>
        <w:pStyle w:val="aa"/>
        <w:ind w:firstLineChars="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D9689E" w:rsidRDefault="0037788F">
      <w:pPr>
        <w:pStyle w:val="aa"/>
        <w:ind w:firstLineChars="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D9689E" w:rsidRDefault="0037788F">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D9689E" w:rsidRDefault="0037788F">
      <w:pPr>
        <w:pStyle w:val="aa"/>
        <w:ind w:firstLineChars="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D9689E" w:rsidRDefault="0037788F">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D9689E" w:rsidRDefault="0037788F">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D9689E" w:rsidRDefault="0037788F">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r>
        <w:rPr>
          <w:rFonts w:ascii="宋体" w:hAnsi="宋体"/>
          <w:sz w:val="18"/>
          <w:szCs w:val="18"/>
        </w:rPr>
        <w:t>基差是指现货价格与期货价</w:t>
      </w:r>
      <w:r>
        <w:rPr>
          <w:rFonts w:ascii="宋体" w:hAnsi="宋体"/>
          <w:sz w:val="18"/>
          <w:szCs w:val="18"/>
        </w:rPr>
        <w:t>格之间的差额</w:t>
      </w:r>
      <w:r>
        <w:rPr>
          <w:rFonts w:ascii="宋体" w:hAnsi="宋体" w:hint="eastAsia"/>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D9689E" w:rsidRDefault="0037788F">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D9689E" w:rsidRDefault="0037788F">
      <w:pPr>
        <w:pStyle w:val="aa"/>
        <w:ind w:firstLineChars="0" w:firstLine="426"/>
        <w:rPr>
          <w:rFonts w:ascii="宋体" w:hAnsi="宋体"/>
          <w:sz w:val="18"/>
          <w:szCs w:val="18"/>
        </w:rPr>
      </w:pPr>
      <w:r>
        <w:rPr>
          <w:rFonts w:ascii="宋体" w:hAnsi="宋体" w:hint="eastAsia"/>
          <w:sz w:val="18"/>
          <w:szCs w:val="18"/>
        </w:rPr>
        <w:t>（二）投资者投资本产品可能面临的一般风险主要包括（但不限于）：</w:t>
      </w:r>
      <w:r>
        <w:rPr>
          <w:rFonts w:ascii="宋体" w:hAnsi="宋体" w:hint="eastAsia"/>
          <w:sz w:val="18"/>
          <w:szCs w:val="18"/>
        </w:rPr>
        <w:t xml:space="preserve"> </w:t>
      </w:r>
    </w:p>
    <w:p w:rsidR="00D9689E" w:rsidRDefault="0037788F">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D9689E" w:rsidRDefault="0037788F">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D9689E" w:rsidRDefault="0037788F">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D9689E" w:rsidRDefault="0037788F">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w:t>
      </w:r>
      <w:r>
        <w:rPr>
          <w:rFonts w:ascii="宋体" w:hAnsi="宋体" w:cs="仿宋_GB2312" w:hint="eastAsia"/>
          <w:bCs/>
          <w:kern w:val="0"/>
          <w:sz w:val="18"/>
          <w:szCs w:val="18"/>
        </w:rPr>
        <w:lastRenderedPageBreak/>
        <w:t>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D9689E" w:rsidRDefault="0037788F">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D9689E" w:rsidRDefault="0037788F">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D9689E" w:rsidRDefault="0037788F">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w:t>
      </w:r>
      <w:r>
        <w:rPr>
          <w:rFonts w:ascii="宋体" w:hAnsi="宋体" w:cs="仿宋_GB2312" w:hint="eastAsia"/>
          <w:kern w:val="0"/>
          <w:sz w:val="18"/>
          <w:szCs w:val="18"/>
        </w:rPr>
        <w:t>止、或者司法机关要求、或发生其他产品管理人认为需要提前终止本产品等情况，产品管理人有权部分或全部提前终止本产品，投资者将面临再投资机会风险。</w:t>
      </w:r>
    </w:p>
    <w:p w:rsidR="00D9689E" w:rsidRDefault="0037788F">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w:t>
      </w:r>
      <w:r>
        <w:rPr>
          <w:rFonts w:ascii="宋体" w:hAnsi="宋体" w:cs="仿宋_GB2312"/>
          <w:kern w:val="0"/>
          <w:sz w:val="18"/>
          <w:szCs w:val="18"/>
        </w:rPr>
        <w:t>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D9689E" w:rsidRDefault="0037788F">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D9689E" w:rsidRDefault="0037788F">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D9689E" w:rsidRDefault="0037788F">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D9689E" w:rsidRDefault="0037788F">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D9689E" w:rsidRDefault="0037788F">
      <w:pPr>
        <w:pStyle w:val="aa"/>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w:t>
      </w:r>
      <w:r>
        <w:rPr>
          <w:rFonts w:asciiTheme="majorEastAsia" w:eastAsiaTheme="majorEastAsia" w:hAnsiTheme="majorEastAsia" w:hint="eastAsia"/>
          <w:bCs/>
          <w:color w:val="000000" w:themeColor="text1"/>
          <w:kern w:val="0"/>
          <w:sz w:val="18"/>
          <w:szCs w:val="18"/>
        </w:rPr>
        <w:t>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D9689E" w:rsidRDefault="0037788F">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D9689E" w:rsidRDefault="0037788F">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w:t>
      </w:r>
      <w:r>
        <w:rPr>
          <w:rFonts w:ascii="黑体" w:eastAsia="黑体" w:hAnsi="黑体" w:hint="eastAsia"/>
          <w:bCs/>
          <w:sz w:val="18"/>
          <w:szCs w:val="18"/>
          <w:u w:val="single"/>
        </w:rPr>
        <w:t>应由代理销售机构承担的责任。</w:t>
      </w:r>
    </w:p>
    <w:p w:rsidR="00D9689E" w:rsidRDefault="0037788F">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D9689E" w:rsidRDefault="0037788F">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w:t>
      </w:r>
      <w:r>
        <w:rPr>
          <w:rFonts w:ascii="黑体" w:eastAsia="黑体" w:hAnsi="黑体" w:hint="eastAsia"/>
          <w:sz w:val="18"/>
          <w:szCs w:val="18"/>
          <w:u w:val="single"/>
        </w:rPr>
        <w:lastRenderedPageBreak/>
        <w:t>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D9689E" w:rsidRDefault="0037788F">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D9689E" w:rsidRDefault="0037788F">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D9689E" w:rsidRDefault="00D9689E">
      <w:pPr>
        <w:ind w:left="540"/>
        <w:jc w:val="right"/>
        <w:rPr>
          <w:rFonts w:ascii="宋体" w:hAnsi="宋体"/>
          <w:sz w:val="18"/>
          <w:szCs w:val="18"/>
        </w:rPr>
      </w:pPr>
    </w:p>
    <w:p w:rsidR="00D9689E" w:rsidRDefault="0037788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D9689E" w:rsidRDefault="0037788F">
      <w:pPr>
        <w:wordWrap w:val="0"/>
        <w:ind w:left="540"/>
        <w:jc w:val="right"/>
        <w:rPr>
          <w:rFonts w:ascii="宋体" w:hAnsi="宋体"/>
          <w:sz w:val="18"/>
          <w:szCs w:val="18"/>
        </w:rPr>
      </w:pPr>
      <w:r>
        <w:rPr>
          <w:rFonts w:ascii="宋体" w:hAnsi="宋体" w:hint="eastAsia"/>
          <w:sz w:val="18"/>
          <w:szCs w:val="18"/>
        </w:rPr>
        <w:t>销售机构（【</w:t>
      </w:r>
      <w:r>
        <w:rPr>
          <w:rFonts w:asciiTheme="majorEastAsia" w:eastAsiaTheme="majorEastAsia" w:hAnsiTheme="majorEastAsia" w:hint="eastAsia"/>
          <w:bCs/>
          <w:sz w:val="18"/>
          <w:szCs w:val="18"/>
        </w:rPr>
        <w:t>浙</w:t>
      </w:r>
      <w:r>
        <w:rPr>
          <w:rFonts w:asciiTheme="majorEastAsia" w:eastAsiaTheme="majorEastAsia" w:hAnsiTheme="majorEastAsia"/>
          <w:bCs/>
          <w:sz w:val="18"/>
          <w:szCs w:val="18"/>
        </w:rPr>
        <w:t>江桐庐农村商业银行股份有限公司</w:t>
      </w:r>
      <w:r>
        <w:rPr>
          <w:rFonts w:ascii="宋体" w:hAnsi="宋体" w:hint="eastAsia"/>
          <w:sz w:val="18"/>
          <w:szCs w:val="18"/>
        </w:rPr>
        <w:t>】）</w:t>
      </w:r>
    </w:p>
    <w:p w:rsidR="00D9689E" w:rsidRDefault="0037788F">
      <w:pPr>
        <w:widowControl/>
        <w:jc w:val="left"/>
        <w:rPr>
          <w:rFonts w:ascii="宋体" w:hAnsi="宋体"/>
          <w:sz w:val="18"/>
          <w:szCs w:val="18"/>
        </w:rPr>
      </w:pPr>
      <w:r>
        <w:rPr>
          <w:rFonts w:ascii="宋体" w:hAnsi="宋体"/>
          <w:sz w:val="18"/>
          <w:szCs w:val="18"/>
        </w:rPr>
        <w:br w:type="page"/>
      </w:r>
    </w:p>
    <w:p w:rsidR="00D9689E" w:rsidRDefault="00D9689E">
      <w:pPr>
        <w:ind w:left="540"/>
        <w:jc w:val="right"/>
        <w:rPr>
          <w:rFonts w:ascii="宋体" w:hAnsi="宋体"/>
          <w:sz w:val="18"/>
          <w:szCs w:val="18"/>
        </w:rPr>
      </w:pPr>
    </w:p>
    <w:p w:rsidR="00D9689E" w:rsidRDefault="00D9689E">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D9689E">
        <w:trPr>
          <w:trHeight w:val="627"/>
        </w:trPr>
        <w:tc>
          <w:tcPr>
            <w:tcW w:w="8371" w:type="dxa"/>
          </w:tcPr>
          <w:p w:rsidR="00D9689E" w:rsidRDefault="0037788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9689E" w:rsidRDefault="0037788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D9689E">
        <w:trPr>
          <w:trHeight w:val="6283"/>
        </w:trPr>
        <w:tc>
          <w:tcPr>
            <w:tcW w:w="8371" w:type="dxa"/>
          </w:tcPr>
          <w:p w:rsidR="00D9689E" w:rsidRDefault="0037788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D9689E" w:rsidRDefault="00D9689E">
            <w:pPr>
              <w:spacing w:line="280" w:lineRule="atLeast"/>
              <w:jc w:val="left"/>
              <w:rPr>
                <w:rFonts w:ascii="宋体" w:hAnsi="宋体" w:cs="Arial"/>
                <w:sz w:val="18"/>
                <w:szCs w:val="18"/>
              </w:rPr>
            </w:pPr>
          </w:p>
          <w:p w:rsidR="00D9689E" w:rsidRDefault="0037788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D9689E" w:rsidRDefault="00D9689E">
            <w:pPr>
              <w:spacing w:line="280" w:lineRule="atLeast"/>
              <w:jc w:val="left"/>
              <w:rPr>
                <w:rFonts w:ascii="宋体" w:hAnsi="宋体" w:cs="Arial"/>
                <w:kern w:val="0"/>
                <w:sz w:val="18"/>
                <w:szCs w:val="18"/>
              </w:rPr>
            </w:pPr>
          </w:p>
          <w:p w:rsidR="00D9689E" w:rsidRDefault="0037788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D9689E" w:rsidRDefault="00D9689E">
            <w:pPr>
              <w:spacing w:line="280" w:lineRule="atLeast"/>
              <w:jc w:val="left"/>
              <w:rPr>
                <w:rFonts w:ascii="宋体" w:hAnsi="宋体" w:cs="Arial"/>
                <w:kern w:val="0"/>
                <w:sz w:val="18"/>
                <w:szCs w:val="18"/>
              </w:rPr>
            </w:pPr>
          </w:p>
          <w:p w:rsidR="00D9689E" w:rsidRDefault="0037788F">
            <w:pPr>
              <w:spacing w:line="280" w:lineRule="atLeast"/>
              <w:jc w:val="left"/>
              <w:rPr>
                <w:kern w:val="0"/>
                <w:sz w:val="18"/>
                <w:szCs w:val="18"/>
                <w:u w:val="single"/>
              </w:rPr>
            </w:pPr>
            <w:r>
              <w:rPr>
                <w:rFonts w:ascii="宋体" w:hAnsi="宋体" w:cs="Arial" w:hint="eastAsia"/>
                <w:kern w:val="0"/>
                <w:sz w:val="18"/>
                <w:szCs w:val="18"/>
              </w:rPr>
              <w:t>请投资者在此抄录：</w:t>
            </w:r>
          </w:p>
          <w:p w:rsidR="00D9689E" w:rsidRDefault="00D9689E">
            <w:pPr>
              <w:spacing w:line="280" w:lineRule="atLeast"/>
              <w:jc w:val="left"/>
              <w:rPr>
                <w:kern w:val="0"/>
                <w:sz w:val="18"/>
                <w:szCs w:val="18"/>
                <w:u w:val="single"/>
              </w:rPr>
            </w:pPr>
          </w:p>
          <w:p w:rsidR="00D9689E" w:rsidRDefault="0037788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D9689E" w:rsidRDefault="00D9689E">
            <w:pPr>
              <w:spacing w:line="280" w:lineRule="atLeast"/>
              <w:ind w:left="4200" w:firstLineChars="600" w:firstLine="1080"/>
              <w:jc w:val="left"/>
              <w:rPr>
                <w:rFonts w:ascii="宋体" w:hAnsi="宋体" w:cs="Arial"/>
                <w:kern w:val="0"/>
                <w:sz w:val="18"/>
                <w:szCs w:val="18"/>
              </w:rPr>
            </w:pPr>
          </w:p>
          <w:p w:rsidR="00D9689E" w:rsidRDefault="0037788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9689E" w:rsidRDefault="00D9689E">
            <w:pPr>
              <w:spacing w:line="280" w:lineRule="atLeast"/>
              <w:ind w:left="4200" w:firstLineChars="600" w:firstLine="1080"/>
              <w:jc w:val="left"/>
              <w:rPr>
                <w:rFonts w:ascii="宋体" w:hAnsi="宋体" w:cs="Arial"/>
                <w:kern w:val="0"/>
                <w:sz w:val="18"/>
                <w:szCs w:val="18"/>
              </w:rPr>
            </w:pPr>
          </w:p>
          <w:p w:rsidR="00D9689E" w:rsidRDefault="0037788F">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D9689E" w:rsidRDefault="00D9689E">
            <w:pPr>
              <w:spacing w:line="280" w:lineRule="atLeast"/>
              <w:jc w:val="right"/>
              <w:rPr>
                <w:rFonts w:ascii="宋体" w:hAnsi="宋体"/>
                <w:kern w:val="0"/>
                <w:sz w:val="18"/>
                <w:szCs w:val="18"/>
              </w:rPr>
            </w:pPr>
          </w:p>
        </w:tc>
      </w:tr>
    </w:tbl>
    <w:p w:rsidR="00D9689E" w:rsidRDefault="00D9689E">
      <w:pPr>
        <w:autoSpaceDE w:val="0"/>
        <w:autoSpaceDN w:val="0"/>
        <w:adjustRightInd w:val="0"/>
        <w:spacing w:line="360" w:lineRule="auto"/>
        <w:ind w:firstLine="420"/>
        <w:jc w:val="left"/>
        <w:rPr>
          <w:rFonts w:ascii="宋体" w:hAnsi="宋体"/>
          <w:sz w:val="24"/>
        </w:rPr>
      </w:pPr>
    </w:p>
    <w:p w:rsidR="00D9689E" w:rsidRDefault="00D9689E">
      <w:pPr>
        <w:autoSpaceDE w:val="0"/>
        <w:autoSpaceDN w:val="0"/>
        <w:adjustRightInd w:val="0"/>
        <w:spacing w:line="360" w:lineRule="auto"/>
        <w:ind w:firstLine="420"/>
        <w:jc w:val="left"/>
        <w:rPr>
          <w:rFonts w:ascii="宋体" w:hAnsi="宋体"/>
          <w:sz w:val="24"/>
        </w:rPr>
      </w:pPr>
    </w:p>
    <w:p w:rsidR="00D9689E" w:rsidRDefault="00D9689E">
      <w:pPr>
        <w:autoSpaceDE w:val="0"/>
        <w:autoSpaceDN w:val="0"/>
        <w:adjustRightInd w:val="0"/>
        <w:spacing w:line="360" w:lineRule="auto"/>
        <w:ind w:firstLine="420"/>
        <w:jc w:val="left"/>
        <w:rPr>
          <w:rFonts w:ascii="宋体" w:hAnsi="宋体"/>
          <w:sz w:val="24"/>
        </w:rPr>
      </w:pPr>
    </w:p>
    <w:p w:rsidR="00D9689E" w:rsidRDefault="00D9689E">
      <w:pPr>
        <w:autoSpaceDE w:val="0"/>
        <w:autoSpaceDN w:val="0"/>
        <w:adjustRightInd w:val="0"/>
        <w:spacing w:line="360" w:lineRule="auto"/>
        <w:ind w:firstLine="420"/>
        <w:jc w:val="left"/>
        <w:rPr>
          <w:rFonts w:ascii="宋体" w:hAnsi="宋体"/>
          <w:sz w:val="24"/>
        </w:rPr>
      </w:pPr>
    </w:p>
    <w:p w:rsidR="00D9689E" w:rsidRDefault="00D9689E">
      <w:pPr>
        <w:rPr>
          <w:rFonts w:ascii="宋体" w:hAnsi="宋体" w:cs="Arial"/>
          <w:sz w:val="24"/>
        </w:rPr>
      </w:pPr>
    </w:p>
    <w:p w:rsidR="00D9689E" w:rsidRDefault="00D9689E">
      <w:pPr>
        <w:rPr>
          <w:rFonts w:ascii="宋体" w:hAnsi="宋体" w:cs="Arial"/>
          <w:sz w:val="24"/>
        </w:rPr>
      </w:pPr>
    </w:p>
    <w:p w:rsidR="00D9689E" w:rsidRDefault="00D9689E">
      <w:pPr>
        <w:rPr>
          <w:rFonts w:ascii="宋体" w:hAnsi="宋体" w:cs="Arial"/>
          <w:sz w:val="24"/>
        </w:rPr>
      </w:pPr>
    </w:p>
    <w:p w:rsidR="00D9689E" w:rsidRDefault="00D9689E">
      <w:pPr>
        <w:rPr>
          <w:rFonts w:ascii="宋体" w:hAnsi="宋体" w:cs="Arial"/>
          <w:sz w:val="24"/>
        </w:rPr>
      </w:pPr>
    </w:p>
    <w:p w:rsidR="00D9689E" w:rsidRDefault="00D9689E">
      <w:pPr>
        <w:rPr>
          <w:rFonts w:ascii="宋体" w:hAnsi="宋体" w:cs="Arial"/>
          <w:sz w:val="24"/>
        </w:rPr>
      </w:pPr>
    </w:p>
    <w:p w:rsidR="00D9689E" w:rsidRDefault="00D9689E">
      <w:pPr>
        <w:rPr>
          <w:rFonts w:ascii="宋体" w:hAnsi="宋体" w:cs="Arial"/>
          <w:sz w:val="24"/>
        </w:rPr>
      </w:pPr>
    </w:p>
    <w:p w:rsidR="00D9689E" w:rsidRPr="0037788F" w:rsidRDefault="00D9689E" w:rsidP="0037788F">
      <w:pPr>
        <w:widowControl/>
        <w:jc w:val="left"/>
        <w:rPr>
          <w:rFonts w:ascii="宋体" w:hAnsi="宋体" w:cs="Arial" w:hint="eastAsia"/>
          <w:sz w:val="24"/>
        </w:rPr>
      </w:pPr>
      <w:bookmarkStart w:id="0" w:name="_GoBack"/>
      <w:bookmarkEnd w:id="0"/>
    </w:p>
    <w:sectPr w:rsidR="00D9689E" w:rsidRPr="003778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37788F">
      <w:r>
        <w:separator/>
      </w:r>
    </w:p>
  </w:endnote>
  <w:endnote w:type="continuationSeparator" w:id="0">
    <w:p w:rsidR="00000000" w:rsidRDefault="0037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37788F">
      <w:r>
        <w:separator/>
      </w:r>
    </w:p>
  </w:footnote>
  <w:footnote w:type="continuationSeparator" w:id="0">
    <w:p w:rsidR="00000000" w:rsidRDefault="00377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89E" w:rsidRDefault="0037788F">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D9689E" w:rsidRDefault="0037788F">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96AC8"/>
    <w:rsid w:val="000A244A"/>
    <w:rsid w:val="000B16F1"/>
    <w:rsid w:val="000B357F"/>
    <w:rsid w:val="000F0566"/>
    <w:rsid w:val="00101FDE"/>
    <w:rsid w:val="0010530C"/>
    <w:rsid w:val="001104E8"/>
    <w:rsid w:val="001241F6"/>
    <w:rsid w:val="00152999"/>
    <w:rsid w:val="001C5047"/>
    <w:rsid w:val="002114AF"/>
    <w:rsid w:val="002354DB"/>
    <w:rsid w:val="00257DCB"/>
    <w:rsid w:val="00262560"/>
    <w:rsid w:val="002B4BDD"/>
    <w:rsid w:val="002B63FC"/>
    <w:rsid w:val="002C604E"/>
    <w:rsid w:val="002F0B15"/>
    <w:rsid w:val="003403E6"/>
    <w:rsid w:val="00346ED2"/>
    <w:rsid w:val="00374070"/>
    <w:rsid w:val="0037788F"/>
    <w:rsid w:val="003E1A68"/>
    <w:rsid w:val="003F1C32"/>
    <w:rsid w:val="00420D74"/>
    <w:rsid w:val="0045040F"/>
    <w:rsid w:val="00455EE5"/>
    <w:rsid w:val="004636CC"/>
    <w:rsid w:val="00466605"/>
    <w:rsid w:val="004A236B"/>
    <w:rsid w:val="004B4026"/>
    <w:rsid w:val="004C7F5E"/>
    <w:rsid w:val="00510BA5"/>
    <w:rsid w:val="00527A03"/>
    <w:rsid w:val="005369F4"/>
    <w:rsid w:val="00563E8F"/>
    <w:rsid w:val="005804B9"/>
    <w:rsid w:val="005A0E14"/>
    <w:rsid w:val="005C6FCB"/>
    <w:rsid w:val="005D062B"/>
    <w:rsid w:val="005F48BE"/>
    <w:rsid w:val="00623A45"/>
    <w:rsid w:val="00640FDE"/>
    <w:rsid w:val="006538E1"/>
    <w:rsid w:val="00672BF5"/>
    <w:rsid w:val="006D6BB1"/>
    <w:rsid w:val="007143CD"/>
    <w:rsid w:val="007303F6"/>
    <w:rsid w:val="00732C8C"/>
    <w:rsid w:val="00747259"/>
    <w:rsid w:val="007A4C26"/>
    <w:rsid w:val="007B017F"/>
    <w:rsid w:val="007C7189"/>
    <w:rsid w:val="0080662E"/>
    <w:rsid w:val="00836C1F"/>
    <w:rsid w:val="00866E74"/>
    <w:rsid w:val="00894EE6"/>
    <w:rsid w:val="008A707D"/>
    <w:rsid w:val="008D3E86"/>
    <w:rsid w:val="008F2B54"/>
    <w:rsid w:val="009117A6"/>
    <w:rsid w:val="00955293"/>
    <w:rsid w:val="00981E5B"/>
    <w:rsid w:val="009B13AF"/>
    <w:rsid w:val="00A95D0C"/>
    <w:rsid w:val="00AE5AA3"/>
    <w:rsid w:val="00B06267"/>
    <w:rsid w:val="00B07DEF"/>
    <w:rsid w:val="00B35BED"/>
    <w:rsid w:val="00B35D81"/>
    <w:rsid w:val="00B3723D"/>
    <w:rsid w:val="00BB513F"/>
    <w:rsid w:val="00BC1259"/>
    <w:rsid w:val="00BC2076"/>
    <w:rsid w:val="00BC398E"/>
    <w:rsid w:val="00BE1A3A"/>
    <w:rsid w:val="00C01696"/>
    <w:rsid w:val="00C4233D"/>
    <w:rsid w:val="00CE3D8F"/>
    <w:rsid w:val="00D03CCD"/>
    <w:rsid w:val="00D33509"/>
    <w:rsid w:val="00D46533"/>
    <w:rsid w:val="00D91389"/>
    <w:rsid w:val="00D914AD"/>
    <w:rsid w:val="00D9689E"/>
    <w:rsid w:val="00DA2C69"/>
    <w:rsid w:val="00DC4ABB"/>
    <w:rsid w:val="00DD246D"/>
    <w:rsid w:val="00DD5ABC"/>
    <w:rsid w:val="00DE3630"/>
    <w:rsid w:val="00E27A39"/>
    <w:rsid w:val="00E504DE"/>
    <w:rsid w:val="00E764F5"/>
    <w:rsid w:val="00E767F1"/>
    <w:rsid w:val="00E80603"/>
    <w:rsid w:val="00EB34F9"/>
    <w:rsid w:val="00F1747E"/>
    <w:rsid w:val="00F34E57"/>
    <w:rsid w:val="00F47B29"/>
    <w:rsid w:val="00F57B20"/>
    <w:rsid w:val="00F7745C"/>
    <w:rsid w:val="00F8077D"/>
    <w:rsid w:val="00FB3140"/>
    <w:rsid w:val="00FD7473"/>
    <w:rsid w:val="0F4E0910"/>
    <w:rsid w:val="16E0244F"/>
    <w:rsid w:val="1ABC3843"/>
    <w:rsid w:val="1D9858FD"/>
    <w:rsid w:val="23024B39"/>
    <w:rsid w:val="23F23E77"/>
    <w:rsid w:val="30D07848"/>
    <w:rsid w:val="3F8C50A2"/>
    <w:rsid w:val="40523766"/>
    <w:rsid w:val="435B2EBF"/>
    <w:rsid w:val="601969DF"/>
    <w:rsid w:val="6AAE1918"/>
    <w:rsid w:val="6BD57C8B"/>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C3291F6-7F93-4C1C-BAEA-78A6DE11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customStyle="1" w:styleId="1">
    <w:name w:val="修订1"/>
    <w:hidden/>
    <w:uiPriority w:val="99"/>
    <w:semiHidden/>
    <w:qFormat/>
    <w:rPr>
      <w:rFonts w:ascii="Calibri" w:eastAsia="宋体"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765</Words>
  <Characters>4364</Characters>
  <Application>Microsoft Office Word</Application>
  <DocSecurity>0</DocSecurity>
  <Lines>36</Lines>
  <Paragraphs>10</Paragraphs>
  <ScaleCrop>false</ScaleCrop>
  <Company>神州网信技术有限公司</Company>
  <LinksUpToDate>false</LinksUpToDate>
  <CharactersWithSpaces>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65</cp:revision>
  <dcterms:created xsi:type="dcterms:W3CDTF">2021-06-16T13:02:00Z</dcterms:created>
  <dcterms:modified xsi:type="dcterms:W3CDTF">2022-10-12T09:21:00Z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